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E" w:rsidRDefault="00EC6ECE"/>
    <w:p w:rsidR="00385DBD" w:rsidRDefault="00A215E3" w:rsidP="00515859">
      <w:pPr>
        <w:spacing w:after="0"/>
        <w:jc w:val="center"/>
        <w:rPr>
          <w:b/>
        </w:rPr>
      </w:pPr>
      <w:r w:rsidRPr="00754DF2">
        <w:rPr>
          <w:b/>
        </w:rPr>
        <w:t>Sales/ Service to Intoxicated Persons (SIP) Law Fact Sheet</w:t>
      </w:r>
    </w:p>
    <w:p w:rsidR="00515859" w:rsidRDefault="00515859" w:rsidP="00515859">
      <w:pPr>
        <w:spacing w:after="0"/>
        <w:jc w:val="center"/>
        <w:rPr>
          <w:b/>
          <w:i/>
        </w:rPr>
      </w:pPr>
      <w:r w:rsidRPr="00F86DEE">
        <w:rPr>
          <w:b/>
          <w:i/>
        </w:rPr>
        <w:t xml:space="preserve">Florida </w:t>
      </w:r>
      <w:r w:rsidR="00F86DEE" w:rsidRPr="00F86DEE">
        <w:rPr>
          <w:b/>
          <w:i/>
        </w:rPr>
        <w:t>needs a statute</w:t>
      </w:r>
      <w:r w:rsidRPr="00F86DEE">
        <w:rPr>
          <w:b/>
          <w:i/>
        </w:rPr>
        <w:t xml:space="preserve"> that prohi</w:t>
      </w:r>
      <w:r w:rsidR="00F86DEE" w:rsidRPr="00F86DEE">
        <w:rPr>
          <w:b/>
          <w:i/>
        </w:rPr>
        <w:t>bits</w:t>
      </w:r>
      <w:r w:rsidRPr="00F86DEE">
        <w:rPr>
          <w:b/>
          <w:i/>
        </w:rPr>
        <w:t xml:space="preserve"> sales/ service to intoxicated persons</w:t>
      </w:r>
      <w:r w:rsidR="00340A94">
        <w:rPr>
          <w:b/>
          <w:i/>
        </w:rPr>
        <w:t>: Amend FS 562.50</w:t>
      </w:r>
    </w:p>
    <w:p w:rsidR="00385DBD" w:rsidRDefault="00A10345" w:rsidP="00824A34">
      <w:pPr>
        <w:spacing w:after="0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 xml:space="preserve">Florida is one of only two states in the U.S. that does not prohibit </w:t>
      </w:r>
      <w:r w:rsidR="00193D21">
        <w:rPr>
          <w:rFonts w:cs="Times-Bold"/>
          <w:bCs/>
          <w:sz w:val="20"/>
          <w:szCs w:val="20"/>
        </w:rPr>
        <w:t xml:space="preserve">alcohol </w:t>
      </w:r>
      <w:r>
        <w:rPr>
          <w:rFonts w:cs="Times-Bold"/>
          <w:bCs/>
          <w:sz w:val="20"/>
          <w:szCs w:val="20"/>
        </w:rPr>
        <w:t xml:space="preserve">sales to obviously intoxicated persons. </w:t>
      </w:r>
      <w:r w:rsidR="00525B43">
        <w:rPr>
          <w:rFonts w:cs="Times-Bold"/>
          <w:bCs/>
          <w:sz w:val="20"/>
          <w:szCs w:val="20"/>
        </w:rPr>
        <w:t>I</w:t>
      </w:r>
      <w:r w:rsidR="00824A34">
        <w:rPr>
          <w:rFonts w:cs="Times-Bold"/>
          <w:bCs/>
          <w:sz w:val="20"/>
          <w:szCs w:val="20"/>
        </w:rPr>
        <w:t>ntoxication leads to many consequences including increased crime, violence, injuries, alcohol poisoning, and impaired driving crashes, injuries and fatalities. Research on “place of last drink” surveys shows that over 50% of impaired driving arrests originate from alcohol serving establishments. In Hillsborough County, “last drink” surveys are conducted on persons arrested for DUI, and 56% of persons arrested reported drinking at bars, clubs or restaurants in 2009</w:t>
      </w:r>
      <w:r>
        <w:rPr>
          <w:rFonts w:cs="Times-Bold"/>
          <w:bCs/>
          <w:sz w:val="20"/>
          <w:szCs w:val="20"/>
        </w:rPr>
        <w:t xml:space="preserve"> (HCSO)</w:t>
      </w:r>
      <w:r w:rsidR="00824A34">
        <w:rPr>
          <w:rFonts w:cs="Times-Bold"/>
          <w:bCs/>
          <w:sz w:val="20"/>
          <w:szCs w:val="20"/>
        </w:rPr>
        <w:t>. Laws prohibiting sales to obviously intoxicated persons can reduce intoxication and associated consequences when combined with consistent law enforcement and responsible vendor training.</w:t>
      </w:r>
    </w:p>
    <w:p w:rsidR="00824A34" w:rsidRPr="00F86DEE" w:rsidRDefault="00824A34" w:rsidP="00824A34">
      <w:pPr>
        <w:spacing w:after="0"/>
        <w:rPr>
          <w:b/>
          <w:i/>
        </w:rPr>
      </w:pPr>
    </w:p>
    <w:p w:rsidR="00754DF2" w:rsidRPr="00F86DEE" w:rsidRDefault="002001D1" w:rsidP="00754DF2">
      <w:pPr>
        <w:spacing w:after="0"/>
        <w:rPr>
          <w:rFonts w:cs="Times-Bold"/>
          <w:b/>
          <w:bCs/>
          <w:sz w:val="20"/>
          <w:szCs w:val="20"/>
        </w:rPr>
      </w:pPr>
      <w:r w:rsidRPr="00F86DEE">
        <w:rPr>
          <w:rFonts w:cs="Times-Bold"/>
          <w:b/>
          <w:bCs/>
          <w:sz w:val="20"/>
          <w:szCs w:val="20"/>
        </w:rPr>
        <w:t>Annual Economic Impact of Alcohol Use in Florida</w:t>
      </w:r>
      <w:r w:rsidR="00A10345">
        <w:rPr>
          <w:rFonts w:cs="Times-Bold"/>
          <w:b/>
          <w:bCs/>
          <w:sz w:val="20"/>
          <w:szCs w:val="20"/>
        </w:rPr>
        <w:t xml:space="preserve"> (</w:t>
      </w:r>
      <w:r w:rsidR="00A10345" w:rsidRPr="00515859">
        <w:rPr>
          <w:rFonts w:cs="Times-Bold"/>
          <w:bCs/>
          <w:i/>
          <w:sz w:val="20"/>
          <w:szCs w:val="20"/>
        </w:rPr>
        <w:t>Miami Behavioral Health Center, 2009</w:t>
      </w:r>
      <w:r w:rsidR="00A10345">
        <w:rPr>
          <w:rFonts w:cs="Times-Bold"/>
          <w:bCs/>
          <w:i/>
          <w:sz w:val="20"/>
          <w:szCs w:val="20"/>
        </w:rPr>
        <w:t>)</w:t>
      </w:r>
    </w:p>
    <w:p w:rsidR="002001D1" w:rsidRPr="00A82134" w:rsidRDefault="002001D1" w:rsidP="00A82134">
      <w:pPr>
        <w:pStyle w:val="ListParagraph"/>
        <w:numPr>
          <w:ilvl w:val="0"/>
          <w:numId w:val="4"/>
        </w:numPr>
        <w:spacing w:after="0"/>
        <w:rPr>
          <w:rFonts w:cs="Times-Roman"/>
          <w:sz w:val="20"/>
          <w:szCs w:val="20"/>
        </w:rPr>
      </w:pPr>
      <w:r w:rsidRPr="00A82134">
        <w:rPr>
          <w:rFonts w:cs="Times-Bold"/>
          <w:b/>
          <w:bCs/>
          <w:sz w:val="20"/>
          <w:szCs w:val="20"/>
        </w:rPr>
        <w:t>A</w:t>
      </w:r>
      <w:r w:rsidR="009753D0" w:rsidRPr="00A82134">
        <w:rPr>
          <w:rFonts w:cs="Times-Bold"/>
          <w:b/>
          <w:bCs/>
          <w:sz w:val="20"/>
          <w:szCs w:val="20"/>
        </w:rPr>
        <w:t xml:space="preserve">lcohol </w:t>
      </w:r>
      <w:r w:rsidRPr="00A82134">
        <w:rPr>
          <w:rFonts w:cs="Times-Bold"/>
          <w:b/>
          <w:bCs/>
          <w:sz w:val="20"/>
          <w:szCs w:val="20"/>
        </w:rPr>
        <w:t>A</w:t>
      </w:r>
      <w:r w:rsidR="009753D0" w:rsidRPr="00A82134">
        <w:rPr>
          <w:rFonts w:cs="Times-Bold"/>
          <w:b/>
          <w:bCs/>
          <w:sz w:val="20"/>
          <w:szCs w:val="20"/>
        </w:rPr>
        <w:t xml:space="preserve">ttributable </w:t>
      </w:r>
      <w:r w:rsidRPr="00A82134">
        <w:rPr>
          <w:rFonts w:cs="Times-Bold"/>
          <w:b/>
          <w:bCs/>
          <w:sz w:val="20"/>
          <w:szCs w:val="20"/>
        </w:rPr>
        <w:t>C</w:t>
      </w:r>
      <w:r w:rsidR="009753D0" w:rsidRPr="00A82134">
        <w:rPr>
          <w:rFonts w:cs="Times-Bold"/>
          <w:b/>
          <w:bCs/>
          <w:sz w:val="20"/>
          <w:szCs w:val="20"/>
        </w:rPr>
        <w:t>rimes</w:t>
      </w:r>
      <w:r w:rsidRPr="00A82134">
        <w:rPr>
          <w:rFonts w:cs="Times-Bold"/>
          <w:b/>
          <w:bCs/>
          <w:sz w:val="20"/>
          <w:szCs w:val="20"/>
        </w:rPr>
        <w:t xml:space="preserve">: </w:t>
      </w:r>
      <w:r w:rsidRPr="00A82134">
        <w:rPr>
          <w:rFonts w:cs="Times-Roman"/>
          <w:b/>
          <w:sz w:val="20"/>
          <w:szCs w:val="20"/>
        </w:rPr>
        <w:t>$3,437,232,519</w:t>
      </w:r>
    </w:p>
    <w:p w:rsidR="002001D1" w:rsidRPr="00A82134" w:rsidRDefault="002001D1" w:rsidP="00A82134">
      <w:pPr>
        <w:pStyle w:val="ListParagraph"/>
        <w:numPr>
          <w:ilvl w:val="0"/>
          <w:numId w:val="4"/>
        </w:numPr>
        <w:spacing w:after="0"/>
        <w:rPr>
          <w:rFonts w:cs="Times-Bold"/>
          <w:b/>
          <w:bCs/>
          <w:sz w:val="20"/>
          <w:szCs w:val="20"/>
        </w:rPr>
      </w:pPr>
      <w:r w:rsidRPr="00A82134">
        <w:rPr>
          <w:rFonts w:cs="Times-Roman"/>
          <w:b/>
          <w:sz w:val="20"/>
          <w:szCs w:val="20"/>
        </w:rPr>
        <w:t>Illness Related to Alcohol Use:</w:t>
      </w:r>
      <w:r w:rsidRPr="00A82134">
        <w:rPr>
          <w:rFonts w:cs="Times-Roman"/>
          <w:sz w:val="20"/>
          <w:szCs w:val="20"/>
        </w:rPr>
        <w:t xml:space="preserve"> </w:t>
      </w:r>
      <w:r w:rsidRPr="00A82134">
        <w:rPr>
          <w:rFonts w:cs="Times-Roman"/>
          <w:b/>
          <w:sz w:val="20"/>
          <w:szCs w:val="20"/>
        </w:rPr>
        <w:t>$1, 468,009,352</w:t>
      </w:r>
    </w:p>
    <w:p w:rsidR="002001D1" w:rsidRPr="00A82134" w:rsidRDefault="002001D1" w:rsidP="00A82134">
      <w:pPr>
        <w:pStyle w:val="ListParagraph"/>
        <w:numPr>
          <w:ilvl w:val="0"/>
          <w:numId w:val="4"/>
        </w:numPr>
        <w:spacing w:after="0"/>
        <w:rPr>
          <w:rFonts w:cs="Times-Bold"/>
          <w:b/>
          <w:bCs/>
          <w:sz w:val="20"/>
          <w:szCs w:val="20"/>
        </w:rPr>
      </w:pPr>
      <w:r w:rsidRPr="00A82134">
        <w:rPr>
          <w:rFonts w:cs="Times-Roman"/>
          <w:b/>
          <w:sz w:val="20"/>
          <w:szCs w:val="20"/>
        </w:rPr>
        <w:t>Injury Costs due to Alcohol Use:</w:t>
      </w:r>
      <w:r w:rsidRPr="00A82134">
        <w:rPr>
          <w:rFonts w:cs="Times-Roman"/>
          <w:sz w:val="20"/>
          <w:szCs w:val="20"/>
        </w:rPr>
        <w:t xml:space="preserve"> </w:t>
      </w:r>
      <w:r w:rsidRPr="00A82134">
        <w:rPr>
          <w:rFonts w:cs="Times-Bold"/>
          <w:b/>
          <w:bCs/>
          <w:sz w:val="20"/>
          <w:szCs w:val="20"/>
        </w:rPr>
        <w:t>$8,905,099,640</w:t>
      </w:r>
    </w:p>
    <w:p w:rsidR="002001D1" w:rsidRPr="00A82134" w:rsidRDefault="002001D1" w:rsidP="00A82134">
      <w:pPr>
        <w:pStyle w:val="ListParagraph"/>
        <w:numPr>
          <w:ilvl w:val="0"/>
          <w:numId w:val="4"/>
        </w:numPr>
        <w:spacing w:after="0"/>
        <w:rPr>
          <w:rFonts w:cs="Times-Bold"/>
          <w:b/>
          <w:bCs/>
          <w:sz w:val="20"/>
          <w:szCs w:val="20"/>
        </w:rPr>
      </w:pPr>
      <w:r w:rsidRPr="00A82134">
        <w:rPr>
          <w:rFonts w:cs="Times-Roman"/>
          <w:b/>
          <w:sz w:val="20"/>
          <w:szCs w:val="20"/>
        </w:rPr>
        <w:t>Traffic Injuries and Fatalities Due to Alcohol Use:</w:t>
      </w:r>
      <w:r w:rsidRPr="00A82134">
        <w:rPr>
          <w:rFonts w:cs="Times-Roman"/>
          <w:sz w:val="20"/>
          <w:szCs w:val="20"/>
        </w:rPr>
        <w:t xml:space="preserve"> </w:t>
      </w:r>
      <w:r w:rsidRPr="00A82134">
        <w:rPr>
          <w:rFonts w:cs="Times-Bold"/>
          <w:b/>
          <w:bCs/>
          <w:sz w:val="20"/>
          <w:szCs w:val="20"/>
        </w:rPr>
        <w:t>$7,275,015,532</w:t>
      </w:r>
    </w:p>
    <w:p w:rsidR="00754DF2" w:rsidRPr="00A82134" w:rsidRDefault="002001D1" w:rsidP="00A82134">
      <w:pPr>
        <w:pStyle w:val="ListParagraph"/>
        <w:numPr>
          <w:ilvl w:val="0"/>
          <w:numId w:val="4"/>
        </w:numPr>
        <w:spacing w:after="0"/>
        <w:rPr>
          <w:rFonts w:cs="Times-Bold"/>
          <w:b/>
          <w:bCs/>
        </w:rPr>
      </w:pPr>
      <w:r w:rsidRPr="00A82134">
        <w:rPr>
          <w:rFonts w:cs="Times-Bold"/>
          <w:b/>
          <w:bCs/>
        </w:rPr>
        <w:t>Total $21,085,357,042</w:t>
      </w:r>
      <w:r w:rsidR="00754DF2" w:rsidRPr="00A82134">
        <w:rPr>
          <w:rFonts w:cs="Times-Bold"/>
          <w:b/>
          <w:bCs/>
        </w:rPr>
        <w:t xml:space="preserve"> </w:t>
      </w:r>
    </w:p>
    <w:p w:rsidR="00A10345" w:rsidRDefault="00A10345" w:rsidP="00754DF2">
      <w:pPr>
        <w:spacing w:after="0"/>
        <w:rPr>
          <w:rFonts w:cs="Times-Bold"/>
          <w:b/>
          <w:bCs/>
          <w:sz w:val="20"/>
          <w:szCs w:val="20"/>
        </w:rPr>
      </w:pPr>
    </w:p>
    <w:p w:rsidR="0077149F" w:rsidRPr="0077149F" w:rsidRDefault="00146DFA" w:rsidP="00754DF2">
      <w:pPr>
        <w:spacing w:after="0"/>
        <w:rPr>
          <w:rFonts w:cs="Times-Bold"/>
          <w:b/>
          <w:bCs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>2012</w:t>
      </w:r>
      <w:r w:rsidR="0077149F" w:rsidRPr="0077149F">
        <w:rPr>
          <w:rFonts w:cs="Times-Bold"/>
          <w:b/>
          <w:bCs/>
          <w:sz w:val="20"/>
          <w:szCs w:val="20"/>
        </w:rPr>
        <w:t xml:space="preserve"> Florida Traffic</w:t>
      </w:r>
      <w:r w:rsidR="0077149F">
        <w:rPr>
          <w:rFonts w:cs="Times-Bold"/>
          <w:b/>
          <w:bCs/>
          <w:sz w:val="20"/>
          <w:szCs w:val="20"/>
        </w:rPr>
        <w:t xml:space="preserve"> </w:t>
      </w:r>
      <w:r w:rsidR="0077149F" w:rsidRPr="0077149F">
        <w:rPr>
          <w:rFonts w:cs="Times-Bold"/>
          <w:b/>
          <w:bCs/>
          <w:sz w:val="20"/>
          <w:szCs w:val="20"/>
        </w:rPr>
        <w:t>Crash Statistics, DHSMV</w:t>
      </w:r>
    </w:p>
    <w:p w:rsidR="0077149F" w:rsidRPr="0077149F" w:rsidRDefault="00146DFA" w:rsidP="0077149F">
      <w:pPr>
        <w:pStyle w:val="ListParagraph"/>
        <w:numPr>
          <w:ilvl w:val="0"/>
          <w:numId w:val="3"/>
        </w:numPr>
        <w:spacing w:after="0"/>
        <w:rPr>
          <w:rFonts w:cs="Times-Bold"/>
          <w:bCs/>
          <w:sz w:val="20"/>
          <w:szCs w:val="20"/>
        </w:rPr>
      </w:pPr>
      <w:r w:rsidRPr="00A07EE4">
        <w:rPr>
          <w:rFonts w:cs="Times-Bold"/>
          <w:b/>
          <w:bCs/>
          <w:sz w:val="20"/>
          <w:szCs w:val="20"/>
        </w:rPr>
        <w:t>877</w:t>
      </w:r>
      <w:r w:rsidR="0077149F" w:rsidRPr="0077149F">
        <w:rPr>
          <w:rFonts w:cs="Times-Bold"/>
          <w:bCs/>
          <w:sz w:val="20"/>
          <w:szCs w:val="20"/>
        </w:rPr>
        <w:t xml:space="preserve"> Alcohol Related Fatalities</w:t>
      </w:r>
    </w:p>
    <w:p w:rsidR="0077149F" w:rsidRPr="0077149F" w:rsidRDefault="00A07EE4" w:rsidP="0077149F">
      <w:pPr>
        <w:pStyle w:val="ListParagraph"/>
        <w:numPr>
          <w:ilvl w:val="0"/>
          <w:numId w:val="3"/>
        </w:numPr>
        <w:spacing w:after="0"/>
        <w:rPr>
          <w:rFonts w:cs="Times-Bold"/>
          <w:bCs/>
          <w:sz w:val="20"/>
          <w:szCs w:val="20"/>
        </w:rPr>
      </w:pPr>
      <w:r w:rsidRPr="00A07EE4">
        <w:rPr>
          <w:rFonts w:cs="Times-Bold"/>
          <w:b/>
          <w:bCs/>
          <w:sz w:val="20"/>
          <w:szCs w:val="20"/>
        </w:rPr>
        <w:t>12,066</w:t>
      </w:r>
      <w:r w:rsidR="0077149F" w:rsidRPr="0077149F">
        <w:rPr>
          <w:rFonts w:cs="Times-Bold"/>
          <w:bCs/>
          <w:sz w:val="20"/>
          <w:szCs w:val="20"/>
        </w:rPr>
        <w:t xml:space="preserve"> Alcohol related Injuries</w:t>
      </w:r>
    </w:p>
    <w:p w:rsidR="00824A34" w:rsidRDefault="00824A34" w:rsidP="00824A34">
      <w:pPr>
        <w:spacing w:after="0"/>
        <w:rPr>
          <w:rFonts w:cs="Times-Bold"/>
          <w:bCs/>
          <w:sz w:val="20"/>
          <w:szCs w:val="20"/>
        </w:rPr>
      </w:pPr>
    </w:p>
    <w:p w:rsidR="00754DF2" w:rsidRPr="002001D1" w:rsidRDefault="00824A34" w:rsidP="00754DF2">
      <w:pPr>
        <w:spacing w:after="0"/>
      </w:pPr>
      <w:r w:rsidRPr="00824A34">
        <w:rPr>
          <w:b/>
          <w:sz w:val="20"/>
          <w:szCs w:val="20"/>
        </w:rPr>
        <w:t>Laws Prohibiting Alcoh</w:t>
      </w:r>
      <w:r w:rsidR="00A10345">
        <w:rPr>
          <w:b/>
          <w:sz w:val="20"/>
          <w:szCs w:val="20"/>
        </w:rPr>
        <w:t>ol Sales to Intoxicated Persons</w:t>
      </w:r>
      <w:r w:rsidRPr="00824A34">
        <w:rPr>
          <w:b/>
          <w:sz w:val="20"/>
          <w:szCs w:val="20"/>
        </w:rPr>
        <w:t xml:space="preserve"> </w:t>
      </w:r>
      <w:r w:rsidR="00A10345">
        <w:rPr>
          <w:b/>
          <w:sz w:val="20"/>
          <w:szCs w:val="20"/>
        </w:rPr>
        <w:t>(</w:t>
      </w:r>
      <w:r w:rsidRPr="00824A34">
        <w:rPr>
          <w:b/>
          <w:sz w:val="20"/>
          <w:szCs w:val="20"/>
        </w:rPr>
        <w:t>Legal Research Report, NHTSA, 2009, Summary</w:t>
      </w:r>
      <w:r w:rsidR="00A10345">
        <w:rPr>
          <w:b/>
          <w:sz w:val="20"/>
          <w:szCs w:val="20"/>
        </w:rPr>
        <w:t>)</w:t>
      </w:r>
    </w:p>
    <w:p w:rsidR="00A215E3" w:rsidRDefault="00A215E3" w:rsidP="00A215E3">
      <w:pPr>
        <w:pStyle w:val="ListParagraph"/>
        <w:numPr>
          <w:ilvl w:val="0"/>
          <w:numId w:val="1"/>
        </w:numPr>
      </w:pPr>
      <w:r>
        <w:t>4</w:t>
      </w:r>
      <w:r w:rsidR="00EB2E51">
        <w:t>8 States and D.C.</w:t>
      </w:r>
      <w:r>
        <w:t xml:space="preserve"> </w:t>
      </w:r>
      <w:r w:rsidR="00534EF1">
        <w:t xml:space="preserve">have laws that </w:t>
      </w:r>
      <w:r>
        <w:t>prohibit sales of alcohol to intoxicated persons</w:t>
      </w:r>
    </w:p>
    <w:p w:rsidR="00A215E3" w:rsidRDefault="00534EF1" w:rsidP="00A215E3">
      <w:pPr>
        <w:pStyle w:val="ListParagraph"/>
        <w:numPr>
          <w:ilvl w:val="0"/>
          <w:numId w:val="1"/>
        </w:numPr>
      </w:pPr>
      <w:r>
        <w:t xml:space="preserve">46 </w:t>
      </w:r>
      <w:r w:rsidR="00A215E3">
        <w:t xml:space="preserve">states </w:t>
      </w:r>
      <w:r>
        <w:t xml:space="preserve">and DC </w:t>
      </w:r>
      <w:r w:rsidR="00A215E3">
        <w:t>have both criminal and administrative SIP Laws</w:t>
      </w:r>
    </w:p>
    <w:p w:rsidR="00A215E3" w:rsidRDefault="00A215E3" w:rsidP="00A215E3">
      <w:pPr>
        <w:pStyle w:val="ListParagraph"/>
        <w:numPr>
          <w:ilvl w:val="0"/>
          <w:numId w:val="1"/>
        </w:numPr>
      </w:pPr>
      <w:r>
        <w:t>Only Florida and Nevada have neither type law at the state level</w:t>
      </w:r>
      <w:r w:rsidR="00EB2E51">
        <w:t xml:space="preserve">; Wyoming law applies only to </w:t>
      </w:r>
      <w:r w:rsidR="00430CB4">
        <w:t>licensees with drive-in facilities</w:t>
      </w:r>
    </w:p>
    <w:p w:rsidR="00534EF1" w:rsidRDefault="00534EF1" w:rsidP="00A215E3">
      <w:pPr>
        <w:pStyle w:val="ListParagraph"/>
        <w:numPr>
          <w:ilvl w:val="0"/>
          <w:numId w:val="1"/>
        </w:numPr>
      </w:pPr>
      <w:r>
        <w:t>States use a variety of terms</w:t>
      </w:r>
      <w:r w:rsidR="004307F3">
        <w:t xml:space="preserve"> to define the type of service that is prohibited: drunk, visibly intoxicated, obviously intoxicated.</w:t>
      </w:r>
    </w:p>
    <w:p w:rsidR="004307F3" w:rsidRDefault="004307F3" w:rsidP="00A215E3">
      <w:pPr>
        <w:pStyle w:val="ListParagraph"/>
        <w:numPr>
          <w:ilvl w:val="0"/>
          <w:numId w:val="1"/>
        </w:numPr>
      </w:pPr>
      <w:r>
        <w:t>At least 7 states define the term “intoxicated”</w:t>
      </w:r>
      <w:r w:rsidR="00E4097B">
        <w:t xml:space="preserve">. </w:t>
      </w:r>
      <w:r w:rsidR="00754DF2">
        <w:t xml:space="preserve"> </w:t>
      </w:r>
      <w:r>
        <w:t>Other states that do not define intoxication</w:t>
      </w:r>
    </w:p>
    <w:p w:rsidR="004307F3" w:rsidRDefault="004307F3" w:rsidP="00A215E3">
      <w:pPr>
        <w:pStyle w:val="ListParagraph"/>
        <w:numPr>
          <w:ilvl w:val="0"/>
          <w:numId w:val="1"/>
        </w:numPr>
      </w:pPr>
      <w:r>
        <w:t>Courts infer the requirement that the individual’s impairment be visible, apparent or obvious; Visible intoxication involves multiple outward observable signs</w:t>
      </w:r>
    </w:p>
    <w:p w:rsidR="00E63112" w:rsidRDefault="00B13678" w:rsidP="00A215E3">
      <w:pPr>
        <w:pStyle w:val="ListParagraph"/>
        <w:numPr>
          <w:ilvl w:val="0"/>
          <w:numId w:val="1"/>
        </w:numPr>
      </w:pPr>
      <w:r>
        <w:t>2 States sta</w:t>
      </w:r>
      <w:r w:rsidR="00E63112">
        <w:t>tutes specif</w:t>
      </w:r>
      <w:r>
        <w:t>y BAC readings. Nebraska specifie</w:t>
      </w:r>
      <w:r w:rsidR="00E63112">
        <w:t>s a BAC of .</w:t>
      </w:r>
      <w:r w:rsidR="00515859">
        <w:t>10 or</w:t>
      </w:r>
      <w:r w:rsidR="00E63112">
        <w:t xml:space="preserve"> higher can be used as evidence. New Mexico specifies </w:t>
      </w:r>
      <w:r w:rsidR="00754DF2">
        <w:t xml:space="preserve">that </w:t>
      </w:r>
      <w:r w:rsidR="00E63112">
        <w:t>a BAC of .14 or higher within 1 hour of service of alco</w:t>
      </w:r>
      <w:r>
        <w:t>hol creates a reb</w:t>
      </w:r>
      <w:r w:rsidR="00E63112">
        <w:t>uttal presumption that the person was visibly intoxicated</w:t>
      </w:r>
    </w:p>
    <w:p w:rsidR="00E63112" w:rsidRDefault="00B13678" w:rsidP="00A215E3">
      <w:pPr>
        <w:pStyle w:val="ListParagraph"/>
        <w:numPr>
          <w:ilvl w:val="0"/>
          <w:numId w:val="1"/>
        </w:numPr>
      </w:pPr>
      <w:r>
        <w:t>Criminal Penalties: 45 states permit imprisonment of up to 3 years; Most are 6 months to 1 year. Fines may be imposed ranging from up to $500 to up to a maximum of $10,000 (Alaska).</w:t>
      </w:r>
    </w:p>
    <w:p w:rsidR="00515859" w:rsidRPr="00515859" w:rsidRDefault="00B13678" w:rsidP="0051585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Administrative Penalties: SIP violations administrative penalties target the retail license or the alcohol servers permit. All but one state </w:t>
      </w:r>
      <w:r w:rsidR="00515859">
        <w:t>(S</w:t>
      </w:r>
      <w:r w:rsidR="009753D0">
        <w:t xml:space="preserve">outh Dakota) </w:t>
      </w:r>
      <w:r w:rsidR="00754DF2">
        <w:t>all</w:t>
      </w:r>
      <w:r>
        <w:t xml:space="preserve">ows for revocation of the retailer’s </w:t>
      </w:r>
      <w:r w:rsidR="00515859">
        <w:t>license</w:t>
      </w:r>
      <w:r w:rsidR="00D45BF7">
        <w:t xml:space="preserve"> for one offens</w:t>
      </w:r>
      <w:r>
        <w:t xml:space="preserve">e </w:t>
      </w:r>
      <w:r w:rsidR="009753D0">
        <w:t xml:space="preserve">and </w:t>
      </w:r>
      <w:r w:rsidR="00D45BF7">
        <w:t>allows</w:t>
      </w:r>
      <w:r w:rsidR="00754DF2">
        <w:t xml:space="preserve"> lesser pe</w:t>
      </w:r>
      <w:r w:rsidR="009753D0">
        <w:t xml:space="preserve">nalties including suspensions and fines. </w:t>
      </w:r>
    </w:p>
    <w:p w:rsidR="00515859" w:rsidRPr="00F40EC3" w:rsidRDefault="00525B43" w:rsidP="00515859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>Participation in Responsible Vendor</w:t>
      </w:r>
      <w:r w:rsidR="009753D0">
        <w:t xml:space="preserve"> programs may mitigate administrative penalties</w:t>
      </w:r>
    </w:p>
    <w:p w:rsidR="00F40EC3" w:rsidRPr="00F40EC3" w:rsidRDefault="00867EAE" w:rsidP="00867EA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F40EC3" w:rsidRPr="00F40EC3">
        <w:rPr>
          <w:i/>
          <w:sz w:val="20"/>
          <w:szCs w:val="20"/>
        </w:rPr>
        <w:t>For more information conta</w:t>
      </w:r>
      <w:r w:rsidR="00333950">
        <w:rPr>
          <w:i/>
          <w:sz w:val="20"/>
          <w:szCs w:val="20"/>
        </w:rPr>
        <w:t xml:space="preserve">ct: Tampa Alcohol Coalition </w:t>
      </w:r>
      <w:hyperlink r:id="rId5" w:history="1">
        <w:r w:rsidRPr="00FA1198">
          <w:rPr>
            <w:rStyle w:val="Hyperlink"/>
            <w:i/>
            <w:sz w:val="20"/>
            <w:szCs w:val="20"/>
          </w:rPr>
          <w:t>www.tampatac.org</w:t>
        </w:r>
      </w:hyperlink>
      <w:r>
        <w:rPr>
          <w:i/>
          <w:sz w:val="20"/>
          <w:szCs w:val="20"/>
        </w:rPr>
        <w:t xml:space="preserve"> </w:t>
      </w:r>
      <w:hyperlink r:id="rId6" w:history="1">
        <w:r w:rsidRPr="00FA1198">
          <w:rPr>
            <w:rStyle w:val="Hyperlink"/>
            <w:i/>
            <w:sz w:val="20"/>
            <w:szCs w:val="20"/>
          </w:rPr>
          <w:t>er.snelling@verizon.net</w:t>
        </w:r>
      </w:hyperlink>
      <w:r>
        <w:rPr>
          <w:i/>
          <w:sz w:val="20"/>
          <w:szCs w:val="20"/>
        </w:rPr>
        <w:t xml:space="preserve"> </w:t>
      </w:r>
    </w:p>
    <w:sectPr w:rsidR="00F40EC3" w:rsidRPr="00F40EC3" w:rsidSect="00EC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4B"/>
    <w:multiLevelType w:val="hybridMultilevel"/>
    <w:tmpl w:val="F3D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36ED"/>
    <w:multiLevelType w:val="hybridMultilevel"/>
    <w:tmpl w:val="C84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B1EE1"/>
    <w:multiLevelType w:val="hybridMultilevel"/>
    <w:tmpl w:val="FDB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1CC9"/>
    <w:multiLevelType w:val="hybridMultilevel"/>
    <w:tmpl w:val="0158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15E3"/>
    <w:rsid w:val="00013E62"/>
    <w:rsid w:val="000B7C31"/>
    <w:rsid w:val="00146DFA"/>
    <w:rsid w:val="00193D21"/>
    <w:rsid w:val="001A6C57"/>
    <w:rsid w:val="002001D1"/>
    <w:rsid w:val="00297572"/>
    <w:rsid w:val="002E636C"/>
    <w:rsid w:val="0032015C"/>
    <w:rsid w:val="00333950"/>
    <w:rsid w:val="00340A94"/>
    <w:rsid w:val="00385DBD"/>
    <w:rsid w:val="004307F3"/>
    <w:rsid w:val="00430CB4"/>
    <w:rsid w:val="00515859"/>
    <w:rsid w:val="00525B43"/>
    <w:rsid w:val="00534EF1"/>
    <w:rsid w:val="006815AA"/>
    <w:rsid w:val="00754DF2"/>
    <w:rsid w:val="0077149F"/>
    <w:rsid w:val="007D28C5"/>
    <w:rsid w:val="00824A34"/>
    <w:rsid w:val="00861152"/>
    <w:rsid w:val="00867EAE"/>
    <w:rsid w:val="00923A18"/>
    <w:rsid w:val="009753D0"/>
    <w:rsid w:val="009757B2"/>
    <w:rsid w:val="00A07EE4"/>
    <w:rsid w:val="00A10345"/>
    <w:rsid w:val="00A215E3"/>
    <w:rsid w:val="00A82134"/>
    <w:rsid w:val="00B1211C"/>
    <w:rsid w:val="00B13678"/>
    <w:rsid w:val="00B220FE"/>
    <w:rsid w:val="00D45BF7"/>
    <w:rsid w:val="00D764DA"/>
    <w:rsid w:val="00DA5FB0"/>
    <w:rsid w:val="00E4097B"/>
    <w:rsid w:val="00E63112"/>
    <w:rsid w:val="00E9756D"/>
    <w:rsid w:val="00EB2E51"/>
    <w:rsid w:val="00EC6ECE"/>
    <w:rsid w:val="00F40EC3"/>
    <w:rsid w:val="00F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.snelling@verizon.net" TargetMode="External"/><Relationship Id="rId5" Type="http://schemas.openxmlformats.org/officeDocument/2006/relationships/hyperlink" Target="http://www.tampat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2015-01-20T16:50:00Z</dcterms:created>
  <dcterms:modified xsi:type="dcterms:W3CDTF">2015-01-20T16:51:00Z</dcterms:modified>
</cp:coreProperties>
</file>